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F2" w:rsidRPr="002C6CF2" w:rsidRDefault="002C6CF2" w:rsidP="002C6CF2">
      <w:pPr>
        <w:jc w:val="center"/>
        <w:rPr>
          <w:rFonts w:ascii="Times New Roman" w:hAnsi="Times New Roman" w:cs="Times New Roman"/>
          <w:b/>
          <w:sz w:val="28"/>
        </w:rPr>
      </w:pPr>
      <w:r w:rsidRPr="002C6CF2">
        <w:rPr>
          <w:rFonts w:ascii="Times New Roman" w:hAnsi="Times New Roman" w:cs="Times New Roman"/>
          <w:b/>
          <w:sz w:val="28"/>
        </w:rPr>
        <w:t>Загадки  амурского  бархата. Межрегиональный конкурс «Экомонитор»</w:t>
      </w:r>
    </w:p>
    <w:p w:rsidR="00323AB3" w:rsidRDefault="002C6CF2" w:rsidP="00323AB3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11082">
        <w:rPr>
          <w:rFonts w:ascii="Times New Roman" w:eastAsia="Calibri" w:hAnsi="Times New Roman" w:cs="Times New Roman"/>
          <w:sz w:val="24"/>
          <w:szCs w:val="28"/>
        </w:rPr>
        <w:t>Алтайская краевая общественная организация «Геблеровское экологическое общество», Межрегиональная благотворительная общественная организация «Сибирский экологический центр», Федеральное государственное учреждение «Государственный природный заповедник «Тигирекский»</w:t>
      </w:r>
      <w:r w:rsidRPr="00F11082">
        <w:rPr>
          <w:rFonts w:ascii="Times New Roman" w:hAnsi="Times New Roman" w:cs="Times New Roman"/>
          <w:sz w:val="24"/>
          <w:szCs w:val="28"/>
        </w:rPr>
        <w:t xml:space="preserve"> с 1 июня</w:t>
      </w:r>
      <w:r w:rsidRPr="001F5544">
        <w:rPr>
          <w:rFonts w:ascii="Times New Roman" w:hAnsi="Times New Roman" w:cs="Times New Roman"/>
          <w:sz w:val="24"/>
          <w:szCs w:val="28"/>
        </w:rPr>
        <w:t xml:space="preserve"> 2011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F11082">
        <w:rPr>
          <w:rFonts w:ascii="Times New Roman" w:hAnsi="Times New Roman" w:cs="Times New Roman"/>
          <w:sz w:val="24"/>
          <w:szCs w:val="28"/>
        </w:rPr>
        <w:t xml:space="preserve"> проводят межрегиональный конкурс  </w:t>
      </w:r>
      <w:r w:rsidRPr="00F11082">
        <w:rPr>
          <w:rFonts w:ascii="Times New Roman" w:hAnsi="Times New Roman" w:cs="Times New Roman"/>
          <w:sz w:val="24"/>
        </w:rPr>
        <w:t>«Экомонитор», в котором  принимает участие  наша экологическая команда «БЭД».</w:t>
      </w:r>
      <w:r>
        <w:rPr>
          <w:rFonts w:ascii="Times New Roman" w:hAnsi="Times New Roman" w:cs="Times New Roman"/>
          <w:sz w:val="24"/>
        </w:rPr>
        <w:t xml:space="preserve">  </w:t>
      </w:r>
    </w:p>
    <w:p w:rsidR="00802C75" w:rsidRPr="00E278CF" w:rsidRDefault="00802C75" w:rsidP="00802C75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последние денечки перед школой нам посчастливилось, пользуясь </w:t>
      </w:r>
      <w:r w:rsidRPr="00802C75">
        <w:rPr>
          <w:rFonts w:ascii="Times New Roman" w:hAnsi="Times New Roman" w:cs="Times New Roman"/>
          <w:sz w:val="24"/>
          <w:szCs w:val="28"/>
          <w:lang w:val="en-US"/>
        </w:rPr>
        <w:t>GPS</w:t>
      </w:r>
      <w:r w:rsidRPr="00802C75">
        <w:rPr>
          <w:rFonts w:ascii="Times New Roman" w:hAnsi="Times New Roman" w:cs="Times New Roman"/>
          <w:sz w:val="24"/>
          <w:szCs w:val="28"/>
        </w:rPr>
        <w:t>-навигатор</w:t>
      </w:r>
      <w:r>
        <w:rPr>
          <w:rFonts w:ascii="Times New Roman" w:hAnsi="Times New Roman" w:cs="Times New Roman"/>
          <w:sz w:val="24"/>
          <w:szCs w:val="28"/>
        </w:rPr>
        <w:t>ом, определить местоположение интересного природного объекта на территории природного парка «Ая» - амурского бархата, родина которого Дальний восток. Впервые обнаружил его и сберег от вырубки при строительстве дороги на Бирюзовую Катунь</w:t>
      </w:r>
      <w:r w:rsidR="00323AB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наш проводник – лесничий Айского участка</w:t>
      </w:r>
      <w:r w:rsidR="00323AB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Самусевич В.В. </w:t>
      </w:r>
      <w:r w:rsidR="00323AB3">
        <w:rPr>
          <w:rFonts w:ascii="Times New Roman" w:hAnsi="Times New Roman" w:cs="Times New Roman"/>
          <w:sz w:val="24"/>
          <w:szCs w:val="28"/>
        </w:rPr>
        <w:t xml:space="preserve">Растет это дерево, вернее два ствола от </w:t>
      </w:r>
      <w:r w:rsidR="00323AB3" w:rsidRPr="00323AB3">
        <w:rPr>
          <w:rFonts w:ascii="Times New Roman" w:hAnsi="Times New Roman" w:cs="Times New Roman"/>
          <w:sz w:val="24"/>
          <w:szCs w:val="28"/>
        </w:rPr>
        <w:t xml:space="preserve"> </w:t>
      </w:r>
      <w:r w:rsidR="00323AB3">
        <w:rPr>
          <w:rFonts w:ascii="Times New Roman" w:hAnsi="Times New Roman" w:cs="Times New Roman"/>
          <w:sz w:val="24"/>
          <w:szCs w:val="28"/>
        </w:rPr>
        <w:t xml:space="preserve">одного корня, в диком виде среди естественного биоценоза. </w:t>
      </w:r>
      <w:r w:rsidR="00E278CF">
        <w:rPr>
          <w:rFonts w:ascii="Times New Roman" w:hAnsi="Times New Roman" w:cs="Times New Roman"/>
          <w:sz w:val="24"/>
          <w:szCs w:val="28"/>
        </w:rPr>
        <w:t>Высота ствола 16-17 метров. Как оно оказалось здесь, никто не знает.</w:t>
      </w:r>
    </w:p>
    <w:p w:rsidR="00323AB3" w:rsidRDefault="00323AB3" w:rsidP="00802C75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86995</wp:posOffset>
            </wp:positionV>
            <wp:extent cx="1809750" cy="2409825"/>
            <wp:effectExtent l="19050" t="0" r="0" b="0"/>
            <wp:wrapNone/>
            <wp:docPr id="3" name="Рисунок 3" descr="C:\Documents and Settings\Admin\Рабочий стол\Отчет конкурс Экомонитор 2011г\Отчет Экомонитор. Ая\Экомонитор фото\точка 20\SDC1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 конкурс Экомонитор 2011г\Отчет Экомонитор. Ая\Экомонитор фото\точка 20\SDC12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86995</wp:posOffset>
            </wp:positionV>
            <wp:extent cx="1828800" cy="2447925"/>
            <wp:effectExtent l="19050" t="0" r="0" b="0"/>
            <wp:wrapNone/>
            <wp:docPr id="2" name="Рисунок 2" descr="C:\Documents and Settings\Admin\Рабочий стол\Отчет конкурс Экомонитор 2011г\Отчет Экомонитор. Ая\Экомонитор фото\точка 20\SDC1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ет конкурс Экомонитор 2011г\Отчет Экомонитор. Ая\Экомонитор фото\точка 20\SDC12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86995</wp:posOffset>
            </wp:positionV>
            <wp:extent cx="3082925" cy="2314575"/>
            <wp:effectExtent l="19050" t="0" r="3175" b="0"/>
            <wp:wrapNone/>
            <wp:docPr id="1" name="Рисунок 1" descr="C:\Documents and Settings\Admin\Рабочий стол\Отчет конкурс Экомонитор 2011г\Отчет Экомонитор. Ая\Экомонитор фото\точка 20\SDC1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 конкурс Экомонитор 2011г\Отчет Экомонитор. Ая\Экомонитор фото\точка 20\SDC12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Default="00323AB3" w:rsidP="00323AB3">
      <w:pPr>
        <w:rPr>
          <w:rFonts w:ascii="Times New Roman" w:hAnsi="Times New Roman" w:cs="Times New Roman"/>
          <w:sz w:val="24"/>
          <w:szCs w:val="28"/>
        </w:rPr>
      </w:pPr>
    </w:p>
    <w:p w:rsidR="00323AB3" w:rsidRPr="00323AB3" w:rsidRDefault="00323AB3" w:rsidP="00323A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23AB3">
        <w:rPr>
          <w:rFonts w:ascii="Times New Roman" w:hAnsi="Times New Roman" w:cs="Times New Roman"/>
          <w:sz w:val="24"/>
        </w:rPr>
        <w:t>С лечебной целью используются кора, луб, листья, плоды. Известно о применении препаратов, получаемых из этого дерева, в качестве тонизирующих, антисептических, жаропонижающих и кровоостанавливающих средств. В корейской народной медицине ежедневное поедание 2—3 свежих ягод считается полезным при сахарном диабете. В тибетской медицине отвар коры, луба применяют при аллергии, дерматитах, полиартритах, заболеваниях лимфатических узлов, болезнях почек, глаз.</w:t>
      </w:r>
    </w:p>
    <w:p w:rsidR="00323AB3" w:rsidRPr="00323AB3" w:rsidRDefault="00323AB3" w:rsidP="00323A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3AB3">
        <w:rPr>
          <w:rFonts w:ascii="Times New Roman" w:hAnsi="Times New Roman" w:cs="Times New Roman"/>
          <w:sz w:val="24"/>
        </w:rPr>
        <w:t>Является хорошим медоносом, даёт мёд, который, как иногда считается, обладает противотуберкулёзными свойствами.</w:t>
      </w:r>
    </w:p>
    <w:p w:rsidR="00323AB3" w:rsidRDefault="00323AB3" w:rsidP="00323A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323AB3">
        <w:rPr>
          <w:rFonts w:ascii="Times New Roman" w:hAnsi="Times New Roman" w:cs="Times New Roman"/>
          <w:sz w:val="24"/>
        </w:rPr>
        <w:t>Древесина имеет красивый цвет и очень выразительный рисунок, как в косом, поперечном, так и продольном срезах, прочна, хорошо обрабатывается, противостоит гниению, может использоваться для изготовления мебели, лыж, ружейных лож, рам, фанеры.</w:t>
      </w:r>
      <w:proofErr w:type="gramEnd"/>
      <w:r w:rsidRPr="00323AB3">
        <w:rPr>
          <w:rFonts w:ascii="Times New Roman" w:hAnsi="Times New Roman" w:cs="Times New Roman"/>
          <w:sz w:val="24"/>
        </w:rPr>
        <w:t xml:space="preserve"> Древесина бархата амурского похожа на древесину ясеня, но несколько более тёмная. При тщательной полировке и при срезе острым ножом бархат амурский даёт красивый блеск.</w:t>
      </w:r>
      <w:r>
        <w:rPr>
          <w:rFonts w:ascii="Times New Roman" w:hAnsi="Times New Roman" w:cs="Times New Roman"/>
          <w:sz w:val="24"/>
        </w:rPr>
        <w:t xml:space="preserve"> </w:t>
      </w:r>
      <w:r w:rsidRPr="00323AB3">
        <w:rPr>
          <w:rFonts w:ascii="Times New Roman" w:hAnsi="Times New Roman" w:cs="Times New Roman"/>
          <w:sz w:val="24"/>
        </w:rPr>
        <w:t>Из коры производят техническую пробку. Луб — источник жёлтой краски для шёлка, хлопка и льна.</w:t>
      </w:r>
      <w:r>
        <w:rPr>
          <w:rFonts w:ascii="Times New Roman" w:hAnsi="Times New Roman" w:cs="Times New Roman"/>
          <w:sz w:val="24"/>
        </w:rPr>
        <w:t xml:space="preserve"> </w:t>
      </w:r>
      <w:r w:rsidRPr="00323AB3">
        <w:rPr>
          <w:rFonts w:ascii="Times New Roman" w:hAnsi="Times New Roman" w:cs="Times New Roman"/>
          <w:sz w:val="24"/>
        </w:rPr>
        <w:t>Листья служат кормом для пятнистых оленей.</w:t>
      </w:r>
    </w:p>
    <w:p w:rsidR="00323AB3" w:rsidRPr="00323AB3" w:rsidRDefault="00323AB3" w:rsidP="00323AB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такое необычное дерево</w:t>
      </w:r>
      <w:r w:rsidR="008C72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растет  на Айской земле.</w:t>
      </w:r>
    </w:p>
    <w:p w:rsidR="00323AB3" w:rsidRPr="00323AB3" w:rsidRDefault="00323AB3" w:rsidP="00323AB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Овечкина Аня, уч-ся 10 класса.</w:t>
      </w:r>
    </w:p>
    <w:sectPr w:rsidR="00323AB3" w:rsidRPr="00323AB3" w:rsidSect="0090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CF2"/>
    <w:rsid w:val="002C6CF2"/>
    <w:rsid w:val="00323AB3"/>
    <w:rsid w:val="00802C75"/>
    <w:rsid w:val="008C7288"/>
    <w:rsid w:val="0090632E"/>
    <w:rsid w:val="00E2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2011-09-12T04:40:00Z</dcterms:created>
  <dcterms:modified xsi:type="dcterms:W3CDTF">2011-09-12T05:20:00Z</dcterms:modified>
</cp:coreProperties>
</file>